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 1 января завершите переход на профстандарты по тем должностям, для которых они обязательны. </w:t>
      </w:r>
      <w:hyperlink r:id="rId4" w:anchor="/document/16/63305/dfasn14x0f/" w:tooltip="" w:history="1">
        <w:r w:rsidRPr="00F60C56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Используйте таблицу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чтобы определить, какой документ применять – профстандарт или ЕКС. Также смотрите, </w:t>
      </w:r>
      <w:hyperlink r:id="rId5" w:anchor="/document/16/63305/dfasuhr8wc/" w:tooltip="" w:history="1">
        <w:r w:rsidRPr="00F60C56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как изменится функционал педагогов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после внедрения профстандартов.</w:t>
      </w:r>
    </w:p>
    <w:p w:rsidR="00F60C56" w:rsidRPr="00F60C56" w:rsidRDefault="00F60C56" w:rsidP="00F60C56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  <w:t>Какие профстандарты применять в образовательной организации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Школы и детские сады обязаны применять действующие педагогические профстандарты. Их четыре: для педагога, педагога-психолога, педагога дополнительного образования детей и взрослых, специалиста в области воспитания. Для должностей непедагогических работников Минтруд также утвердил профстандарты. Например, бухгалтера, специалиста по охране труда, повара и других работников. Они обязательны к применению, когда закон устанавливает для должности требования к квалификации, компенсации, льготы, ограничения (</w:t>
      </w:r>
      <w:hyperlink r:id="rId6" w:anchor="/document/99/901807664/ZAP2DEO3JG/" w:tooltip="" w:history="1">
        <w:r w:rsidRPr="00F60C56">
          <w:rPr>
            <w:rFonts w:ascii="Arial" w:eastAsia="Times New Roman" w:hAnsi="Arial" w:cs="Arial"/>
            <w:color w:val="028E2F"/>
            <w:sz w:val="21"/>
            <w:szCs w:val="21"/>
            <w:lang w:eastAsia="ru-RU"/>
          </w:rPr>
          <w:t>ч. 2 ст. 57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ст. </w:t>
      </w:r>
      <w:hyperlink r:id="rId7" w:anchor="/document/99/901807664/XA00MD22NS/" w:tooltip="" w:history="1">
        <w:r w:rsidRPr="00F60C56">
          <w:rPr>
            <w:rFonts w:ascii="Arial" w:eastAsia="Times New Roman" w:hAnsi="Arial" w:cs="Arial"/>
            <w:color w:val="028E2F"/>
            <w:sz w:val="21"/>
            <w:szCs w:val="21"/>
            <w:lang w:eastAsia="ru-RU"/>
          </w:rPr>
          <w:t>195.3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ТК, </w:t>
      </w:r>
      <w:hyperlink r:id="rId8" w:anchor="/document/99/420350261/XA00M262MM/" w:tooltip="" w:history="1">
        <w:r w:rsidRPr="00F60C56">
          <w:rPr>
            <w:rFonts w:ascii="Arial" w:eastAsia="Times New Roman" w:hAnsi="Arial" w:cs="Arial"/>
            <w:color w:val="028E2F"/>
            <w:sz w:val="21"/>
            <w:szCs w:val="21"/>
            <w:lang w:eastAsia="ru-RU"/>
          </w:rPr>
          <w:t>п. 5 письма Минтруда от 04.04.2016 № 14-0/10/13-2253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Proxima Nova Rg" w:eastAsia="Times New Roman" w:hAnsi="Proxima Nova Rg" w:cs="Arial"/>
          <w:color w:val="222222"/>
          <w:sz w:val="21"/>
          <w:szCs w:val="21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z w:val="21"/>
          <w:szCs w:val="21"/>
          <w:lang w:eastAsia="ru-RU"/>
        </w:rPr>
        <w:t>Внимание:</w:t>
      </w:r>
      <w:r w:rsidRPr="00F60C56">
        <w:rPr>
          <w:rFonts w:ascii="Proxima Nova Rg" w:eastAsia="Times New Roman" w:hAnsi="Proxima Nova Rg" w:cs="Arial"/>
          <w:color w:val="222222"/>
          <w:sz w:val="21"/>
          <w:szCs w:val="21"/>
          <w:lang w:eastAsia="ru-RU"/>
        </w:rPr>
        <w:t> в отношении ряда должностей вы вправе сами решить, какой документ применять – профстандарт или квалификационный справочник. Можно руководствоваться положениями профстандарта, так как он содержит требования к уровню квалификации, образованию и стажу работника.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Определить, какой документ применять – профстандарт или ЕКС, поможет таблица.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Профстандарты и справочники для должностей работников образования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4551"/>
      </w:tblGrid>
      <w:tr w:rsidR="00F60C56" w:rsidRPr="00F60C56" w:rsidTr="00F60C56">
        <w:trPr>
          <w:trHeight w:val="8"/>
        </w:trPr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Какой документ применять</w:t>
            </w:r>
          </w:p>
        </w:tc>
      </w:tr>
      <w:tr w:rsidR="00F60C56" w:rsidRPr="00F60C56" w:rsidTr="00F60C56">
        <w:tc>
          <w:tcPr>
            <w:tcW w:w="99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Руководящие работники</w:t>
            </w: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Руководитель (директор, заведующий)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9" w:anchor="/document/99/902233423/XA00M6C2MG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ЕКС должностей работников образования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rPr>
          <w:trHeight w:val="4"/>
        </w:trPr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99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0" w:anchor="/document/99/499053710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«Педагог»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1" w:anchor="/document/99/420294037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«Педагог-психолог»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2" w:anchor="/document/99/542623974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«Педагог дополнительного образования детей и взрослых»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тренер-преподаватель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lastRenderedPageBreak/>
              <w:t>Тренер-преподаватель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3" w:anchor="/document/99/420390300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в области воспитания»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4" w:anchor="/document/99/420222693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«Инструктор-методист»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5" w:anchor="/document/99/902233423/XA00MB82NE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ЕКС должностей работников образования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Инструктор по труду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инструктор-методист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99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Вожатый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6" w:anchor="/document/99/420390300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в области воспитания»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Старший дежурный по режиму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7" w:anchor="/document/99/902233423/XA00M2S2MD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ЕКС должностей работников образования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Секретарь учебной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99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lastRenderedPageBreak/>
              <w:t>Медицинские работники</w:t>
            </w: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8" w:anchor="/document/99/456055818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«Врач-педиатр участковый»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9" w:anchor="/document/99/542621142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«Врач-детский хирург»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0" w:anchor="/document/99/902232199/ZAP2G9C3FQ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ЕКС должностей работников здравоохранения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Патронажная медицинская сестра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99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Иные работники</w:t>
            </w: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Заведующий столовой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1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Комендант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Юрисконсульт II категории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Техник-программист I категории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Техник-программист II категории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Экспедитор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Архивариус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2" w:anchor="/document/97/251983/me11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по организационному и документационному обеспечению управления организацией»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23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lastRenderedPageBreak/>
              <w:t>Инспектор по кадрам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4" w:anchor="/document/99/420309971/ZAP25LO3GT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по управлению персоналом»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25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6" w:anchor="/document/99/420215607/ZAP2ARC3IC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в области охраны труда»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27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28" w:anchor="/document/99/456065234/ZAP25FA3G9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«Специалист по управлению документацией организации»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29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30" w:anchor="/document/99/553897663/XA00M6G2N3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«Бухгалтер»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31" w:anchor="/document/99/588395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должностей руководителей, специалистов и других служащих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Грузчик 1-го разряда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32" w:anchor="/document/99/9028056/ZAP2EBA3JU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ТКХ по общеотраслевым профессиям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33" w:anchor="/document/99/9028056/ZAP2EBA3JU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рабочих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Кладовщик 1-го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Кастелянша 1-го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Кастелянша 2-го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Вахтер 1-го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34" w:anchor="/document/99/9012753/XA00LTK2M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КС профессий рабочих, которым устанавливаются месячные оклады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Машинист по стирке и ремонту спецодежды 2-го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lastRenderedPageBreak/>
              <w:t>Рабочий по комплексному обслуживанию и ремонту зданий 2-го разряда</w:t>
            </w:r>
          </w:p>
        </w:tc>
        <w:tc>
          <w:tcPr>
            <w:tcW w:w="48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35" w:anchor="/document/99/9039053/XA00MBK2NL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ЕТКС работ и профессий рабочих народного хозяйства СССР</w:t>
              </w:r>
            </w:hyperlink>
          </w:p>
        </w:tc>
      </w:tr>
      <w:tr w:rsidR="00F60C56" w:rsidRPr="00F60C56" w:rsidTr="00F60C56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Рабочий по комплексному обслуживанию и ремонту зданий 3-го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rPr>
          <w:trHeight w:val="7"/>
        </w:trPr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Рабочий по комплексному обслуживанию и ремонту зданий 4-го разряда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rPr>
          <w:trHeight w:val="3"/>
        </w:trPr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0" w:type="auto"/>
            <w:vMerge/>
            <w:vAlign w:val="center"/>
            <w:hideMark/>
          </w:tcPr>
          <w:p w:rsidR="00F60C56" w:rsidRPr="00F60C56" w:rsidRDefault="00F60C56" w:rsidP="00F60C56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</w:p>
        </w:tc>
      </w:tr>
      <w:tr w:rsidR="00F60C56" w:rsidRPr="00F60C56" w:rsidTr="00F60C56">
        <w:trPr>
          <w:trHeight w:val="13"/>
        </w:trPr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36" w:anchor="/document/99/420304275/ZAP2A623L0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Профстандарт «Повар»</w:t>
              </w:r>
            </w:hyperlink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или</w:t>
            </w: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</w:r>
            <w:hyperlink r:id="rId37" w:anchor="/document/99/901895143/XA00MBC2NF/" w:tooltip="" w:history="1">
              <w:r w:rsidRPr="00F60C56">
                <w:rPr>
                  <w:rFonts w:ascii="Proxima Nova Rg" w:eastAsia="Times New Roman" w:hAnsi="Proxima Nova Rg" w:cs="Arial"/>
                  <w:color w:val="028E2F"/>
                  <w:sz w:val="20"/>
                  <w:szCs w:val="20"/>
                  <w:lang w:eastAsia="ru-RU"/>
                </w:rPr>
                <w:t>ЕТКС работ и профессий рабочих народного хозяйства СССР</w:t>
              </w:r>
            </w:hyperlink>
          </w:p>
        </w:tc>
      </w:tr>
    </w:tbl>
    <w:p w:rsidR="00F60C56" w:rsidRPr="00F60C56" w:rsidRDefault="00F60C56" w:rsidP="00F60C56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  <w:t>Каким требованиям профстандартов должны соответствовать педагоги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Убедитесь, что квалификация педагогов соответствует профстандарту. Проверьте их образование и стаж. Сравните требования к функционалу по профстандарту и ЕКС работников образования.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Образование. 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Теперь всем педагогам, кроме педагога-психолога, не обязательно иметь высшее профильное образование (</w:t>
      </w:r>
      <w:hyperlink r:id="rId38" w:anchor="/document/99/554126337/XA00M6G2N3/" w:tooltip="" w:history="1">
        <w:r w:rsidRPr="00F60C56">
          <w:rPr>
            <w:rFonts w:ascii="Arial" w:eastAsia="Times New Roman" w:hAnsi="Arial" w:cs="Arial"/>
            <w:color w:val="028E2F"/>
            <w:sz w:val="21"/>
            <w:szCs w:val="21"/>
            <w:lang w:eastAsia="ru-RU"/>
          </w:rPr>
          <w:t>письмо Минпросвещения от 28.03.2019 № ТС-817/08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 учителя может быть высшее или среднее профессиональное образование в области, которая соответствует преподаваемому предмету с последующей профпереподготовкой. Так, учителю математики без педагогического образования, но с высшим математическим, достаточно окончить курсы профпереподготовки.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Функционал.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Сравните функционал педагогов по профстандарту с тем, который устанавливает ЕКС работников образования. Для сравнения используйте таблицу. В ней – полный перечень изменений.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изменится функционал педагогов после внедрения профстандартов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3017"/>
        <w:gridCol w:w="4693"/>
      </w:tblGrid>
      <w:tr w:rsidR="00F60C56" w:rsidRPr="00F60C56" w:rsidTr="00F60C56">
        <w:tc>
          <w:tcPr>
            <w:tcW w:w="1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Новые функции</w:t>
            </w:r>
          </w:p>
        </w:tc>
      </w:tr>
      <w:tr w:rsidR="00F60C56" w:rsidRPr="00F60C56" w:rsidTr="00F60C56">
        <w:tc>
          <w:tcPr>
            <w:tcW w:w="1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Учитель,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Детализировали и добавили функции в сфере воспитания и развития детей, разработки программ</w:t>
            </w:r>
          </w:p>
        </w:tc>
        <w:tc>
          <w:tcPr>
            <w:tcW w:w="5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Участвовать в разработке и реализации программ развития образовательной организации, индивидуального развития ребенка и воспитательных программ.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Анализировать эффективность занятий и подходов к обучению, формировать универсальные учебные действия.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Взаимодействовать с другими специалистами в рамках ПМПК и консилиумов.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Применять специальные языковые программы (в том числе русского как иностранного), программы повышения языковой культуры.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lastRenderedPageBreak/>
              <w:t>Организовывать в школе олимпиады и конференции.</w:t>
            </w:r>
          </w:p>
        </w:tc>
      </w:tr>
      <w:tr w:rsidR="00F60C56" w:rsidRPr="00F60C56" w:rsidTr="00F60C56">
        <w:tc>
          <w:tcPr>
            <w:tcW w:w="1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Конкретизировали функции, в том числе отдельно выделили работу с детьми с ОВЗ. Уточнили, что психолог самостоятельно планирует работу и разрабатывает программы</w:t>
            </w:r>
          </w:p>
        </w:tc>
        <w:tc>
          <w:tcPr>
            <w:tcW w:w="5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Разрабатывать совместно с педагогом индивидуальные учебные планы.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Проводить психологическую экспертизу программ.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Консультировать администрацию и коллектив образовательной организации по проблемам взаимоотношений в трудовом коллективе.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Формировать планы по созданию образовательной среды для детей с ОВЗ, одаренных детей и детей в трудной жизненной ситуации.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Определять степень нарушений в развитии детей, участвовать в работе ПМПК и консилиумов</w:t>
            </w:r>
          </w:p>
        </w:tc>
      </w:tr>
      <w:tr w:rsidR="00F60C56" w:rsidRPr="00F60C56" w:rsidTr="00F60C56">
        <w:tc>
          <w:tcPr>
            <w:tcW w:w="1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Убрали функцию посредника между ребенком, образовательной организацией и семьей. Исключили работу по трудоустройству, патронату, обеспечению жильем и пособиями</w:t>
            </w:r>
          </w:p>
        </w:tc>
        <w:tc>
          <w:tcPr>
            <w:tcW w:w="5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Проектировать программы формирования у детей социальной компетентности, социокультурного опыта.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Организовывать социальную реабилитацию детей с девиантным поведением.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Обеспечивать досуг учеников и воспитанников.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Разрабатывать методические материалы и консультировать детей</w:t>
            </w:r>
          </w:p>
        </w:tc>
      </w:tr>
      <w:tr w:rsidR="00F60C56" w:rsidRPr="00F60C56" w:rsidTr="00F60C56">
        <w:tc>
          <w:tcPr>
            <w:tcW w:w="1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Добавили работу с родителями</w:t>
            </w:r>
          </w:p>
        </w:tc>
        <w:tc>
          <w:tcPr>
            <w:tcW w:w="5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Проводить родительские собрания, индивидуальные и групповые встречи.</w:t>
            </w:r>
          </w:p>
          <w:p w:rsidR="00F60C56" w:rsidRPr="00F60C56" w:rsidRDefault="00F60C56" w:rsidP="00F60C56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F60C56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Организовывать совместную деятельность детей и взрослых</w:t>
            </w:r>
          </w:p>
        </w:tc>
      </w:tr>
    </w:tbl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Педагоги, которым требовалось повысить квалификацию, уже должны были пройти повышение. Тех, кто до сих пор этого не сделал, направьте на курсы. В случае отказа примените дисциплинарное взыскание.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Proxima Nova Rg" w:eastAsia="Times New Roman" w:hAnsi="Proxima Nova Rg" w:cs="Arial"/>
          <w:color w:val="222222"/>
          <w:sz w:val="21"/>
          <w:szCs w:val="21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000000"/>
          <w:sz w:val="21"/>
          <w:szCs w:val="21"/>
          <w:lang w:eastAsia="ru-RU"/>
        </w:rPr>
        <w:t>Ситуация:</w:t>
      </w:r>
      <w:r w:rsidRPr="00F60C56">
        <w:rPr>
          <w:rFonts w:ascii="Proxima Nova Rg" w:eastAsia="Times New Roman" w:hAnsi="Proxima Nova Rg" w:cs="Arial"/>
          <w:color w:val="222222"/>
          <w:sz w:val="21"/>
          <w:szCs w:val="21"/>
          <w:lang w:eastAsia="ru-RU"/>
        </w:rPr>
        <w:t> обязан ли работодатель уволить работника, который не соответствует профстандарту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</w:pPr>
      <w:r w:rsidRPr="00F60C56"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  <w:t>Нет, не обязан.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</w:pPr>
      <w:r w:rsidRPr="00F60C56"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  <w:t>Само по себе несоответствие работника требованиям профстандарта не является основанием для увольнения. Вы вправе допустить к выполнению трудовой функции, если он хорошо справляется с работой (</w:t>
      </w:r>
      <w:hyperlink r:id="rId39" w:anchor="/document/97/262590/dfasd75x90/" w:tooltip="" w:history="1">
        <w:r w:rsidRPr="00F60C56">
          <w:rPr>
            <w:rFonts w:ascii="Proxima Nova Rg" w:eastAsia="Times New Roman" w:hAnsi="Proxima Nova Rg" w:cs="Arial"/>
            <w:vanish/>
            <w:color w:val="028E2F"/>
            <w:sz w:val="21"/>
            <w:szCs w:val="21"/>
            <w:lang w:eastAsia="ru-RU"/>
          </w:rPr>
          <w:t>п. 10</w:t>
        </w:r>
      </w:hyperlink>
      <w:r w:rsidRPr="00F60C56"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  <w:t xml:space="preserve"> письма Минтруда от 04.04.2016 № 14-0/10/В-2253). Решение об увольнении можно принять, только если недостаток квалификации не позволяет работнику полностью выполнять должностные обязанности. Предложите ему вакантную должность, для которой у работника хватает квалификации, или курсы профпереподготовки. Если подходящей работы нет или работник от нее отказался, можете его уволить (</w:t>
      </w:r>
      <w:hyperlink r:id="rId40" w:anchor="/document/99/901807664/XA00MFS2O6/" w:tooltip="" w:history="1">
        <w:r w:rsidRPr="00F60C56">
          <w:rPr>
            <w:rFonts w:ascii="Proxima Nova Rg" w:eastAsia="Times New Roman" w:hAnsi="Proxima Nova Rg" w:cs="Arial"/>
            <w:vanish/>
            <w:color w:val="028E2F"/>
            <w:sz w:val="21"/>
            <w:szCs w:val="21"/>
            <w:lang w:eastAsia="ru-RU"/>
          </w:rPr>
          <w:t>ч. 3 ст. 81</w:t>
        </w:r>
      </w:hyperlink>
      <w:r w:rsidRPr="00F60C56">
        <w:rPr>
          <w:rFonts w:ascii="Proxima Nova Rg" w:eastAsia="Times New Roman" w:hAnsi="Proxima Nova Rg" w:cs="Arial"/>
          <w:vanish/>
          <w:color w:val="222222"/>
          <w:sz w:val="21"/>
          <w:szCs w:val="21"/>
          <w:lang w:eastAsia="ru-RU"/>
        </w:rPr>
        <w:t xml:space="preserve"> ТК).</w:t>
      </w:r>
    </w:p>
    <w:p w:rsidR="00F60C56" w:rsidRPr="00F60C56" w:rsidRDefault="00F60C56" w:rsidP="00F60C56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  <w:t>Какие документы должны соответствовать профстандартам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 локальные акты: положение об аттестации работников, положение об организации обучения работников, правила внутреннего трудового распорядка и коллективный договор. Поручите специалисту по кадрам изучить штатное расписание, трудовые договоры и должностные инструкции работников. Убедитесь, что во всех документах наименование должностей и функционал соответствуют профстандартам. Если выявили несоответствие, внесите изменения. Ознакомьте работников под подпись с новой редакцией документов.</w:t>
      </w:r>
    </w:p>
    <w:p w:rsidR="00F60C56" w:rsidRPr="00F60C56" w:rsidRDefault="00F60C56" w:rsidP="00F60C56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  <w:t>Как сообщить работникам о переходе на профстандарты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сообщить работникам о переходе на профстандарты, проведите собрание коллектива. Расскажите, как образовательная организация подготовилась к переходу. Разъясните новые правила, требования к функционалу и образованию. Назовите работников, которые не 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соответствуют требованиям и должны срочно повысить квалификацию. Объясните последствия отказа.</w:t>
      </w:r>
    </w:p>
    <w:p w:rsidR="00F60C56" w:rsidRPr="00F60C56" w:rsidRDefault="00F60C56" w:rsidP="00F60C56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</w:pPr>
      <w:r w:rsidRPr="00F60C56">
        <w:rPr>
          <w:rFonts w:ascii="Proxima Nova Rg" w:eastAsia="Times New Roman" w:hAnsi="Proxima Nova Rg" w:cs="Arial"/>
          <w:b/>
          <w:bCs/>
          <w:color w:val="222222"/>
          <w:spacing w:val="-6"/>
          <w:sz w:val="33"/>
          <w:szCs w:val="33"/>
          <w:lang w:eastAsia="ru-RU"/>
        </w:rPr>
        <w:t>Какая ответственность предусмотрена за неприменение профстандартов</w:t>
      </w: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Детские сады и школы, которые не перейдут на профстандарты, понесут ответственность. По результатам проверки ГИТ может выдать предписание об устранении выявленных нарушений. Для должностных лиц штраф за нарушение трудового законодательства составит до 5 000 руб., для образовательной организации – до 50 000 руб. (</w:t>
      </w:r>
      <w:hyperlink r:id="rId41" w:anchor="/document/99/901807667/XA00M9G2ND/" w:tooltip="" w:history="1">
        <w:r w:rsidRPr="00F60C56">
          <w:rPr>
            <w:rFonts w:ascii="Arial" w:eastAsia="Times New Roman" w:hAnsi="Arial" w:cs="Arial"/>
            <w:color w:val="028E2F"/>
            <w:sz w:val="21"/>
            <w:szCs w:val="21"/>
            <w:lang w:eastAsia="ru-RU"/>
          </w:rPr>
          <w:t>ст. 5.27</w:t>
        </w:r>
      </w:hyperlink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КоАП).</w:t>
      </w:r>
    </w:p>
    <w:p w:rsidR="00F60C56" w:rsidRPr="00F60C56" w:rsidRDefault="00F60C56" w:rsidP="00F60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60C56" w:rsidRPr="00F60C56" w:rsidRDefault="00F60C56" w:rsidP="00F6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проверить, готова ли образовательная организация перейти на профстандарты». Е. А. Коломина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F60C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Подробнее: </w:t>
      </w:r>
      <w:hyperlink r:id="rId42" w:anchor="/document/16/63305/bssPhr1/?of=copy-b31dbbe0e9" w:history="1">
        <w:r w:rsidRPr="00F60C56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https://vip.1obraz.ru/#/document/16/63305/bssPhr1/?of=copy-b31dbbe0e9</w:t>
        </w:r>
      </w:hyperlink>
    </w:p>
    <w:p w:rsidR="009074F0" w:rsidRDefault="009074F0">
      <w:bookmarkStart w:id="0" w:name="_GoBack"/>
      <w:bookmarkEnd w:id="0"/>
    </w:p>
    <w:sectPr w:rsidR="0090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4"/>
    <w:rsid w:val="005B6254"/>
    <w:rsid w:val="009074F0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9F0A-56CE-4867-8CA5-D6C4DC4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980">
              <w:marLeft w:val="0"/>
              <w:marRight w:val="0"/>
              <w:marTop w:val="300"/>
              <w:marBottom w:val="150"/>
              <w:divBdr>
                <w:top w:val="single" w:sz="6" w:space="8" w:color="C6C6C6"/>
                <w:left w:val="single" w:sz="6" w:space="15" w:color="C6C6C6"/>
                <w:bottom w:val="single" w:sz="6" w:space="8" w:color="C6C6C6"/>
                <w:right w:val="single" w:sz="6" w:space="31" w:color="C6C6C6"/>
              </w:divBdr>
              <w:divsChild>
                <w:div w:id="1817062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37054">
              <w:marLeft w:val="0"/>
              <w:marRight w:val="0"/>
              <w:marTop w:val="300"/>
              <w:marBottom w:val="150"/>
              <w:divBdr>
                <w:top w:val="single" w:sz="6" w:space="8" w:color="C6C6C6"/>
                <w:left w:val="single" w:sz="6" w:space="15" w:color="C6C6C6"/>
                <w:bottom w:val="single" w:sz="6" w:space="8" w:color="C6C6C6"/>
                <w:right w:val="single" w:sz="6" w:space="31" w:color="C6C6C6"/>
              </w:divBdr>
              <w:divsChild>
                <w:div w:id="1743210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2019-12-24T10:57:00Z</dcterms:created>
  <dcterms:modified xsi:type="dcterms:W3CDTF">2019-12-24T10:58:00Z</dcterms:modified>
</cp:coreProperties>
</file>